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AB" w:rsidRDefault="0089146B" w:rsidP="00C35C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35CAB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областное бюджетное учреждение </w:t>
      </w:r>
    </w:p>
    <w:p w:rsidR="0089146B" w:rsidRDefault="0089146B" w:rsidP="00C35C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35CAB">
        <w:rPr>
          <w:rFonts w:ascii="Times New Roman" w:hAnsi="Times New Roman" w:cs="Times New Roman"/>
          <w:color w:val="auto"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C35CAB" w:rsidRPr="00C35CAB" w:rsidRDefault="00C35CAB" w:rsidP="00C35CAB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146B" w:rsidTr="00C35CAB">
        <w:tc>
          <w:tcPr>
            <w:tcW w:w="4785" w:type="dxa"/>
          </w:tcPr>
          <w:p w:rsidR="0089146B" w:rsidRPr="00C35CAB" w:rsidRDefault="00C35CAB" w:rsidP="008914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35CAB" w:rsidRDefault="00C35CAB" w:rsidP="008914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89146B" w:rsidRDefault="00C35CAB" w:rsidP="008914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ГОБУ НОЦППМС</w:t>
            </w:r>
          </w:p>
          <w:p w:rsidR="00C35CAB" w:rsidRDefault="004A3243" w:rsidP="008914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35CAB">
              <w:rPr>
                <w:rFonts w:ascii="Times New Roman" w:hAnsi="Times New Roman" w:cs="Times New Roman"/>
                <w:sz w:val="28"/>
                <w:szCs w:val="28"/>
              </w:rPr>
              <w:t>Крайнева Е.И.</w:t>
            </w:r>
          </w:p>
          <w:p w:rsidR="00C35CAB" w:rsidRPr="00C35CAB" w:rsidRDefault="00C35CAB" w:rsidP="00C35C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2020</w:t>
            </w:r>
          </w:p>
        </w:tc>
      </w:tr>
    </w:tbl>
    <w:p w:rsidR="0089146B" w:rsidRPr="0089146B" w:rsidRDefault="0089146B" w:rsidP="0089146B"/>
    <w:p w:rsidR="00C35CAB" w:rsidRDefault="0089146B" w:rsidP="00C35C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Отчет о результатах самообследования </w:t>
      </w:r>
    </w:p>
    <w:p w:rsidR="00C35CAB" w:rsidRPr="00C35CAB" w:rsidRDefault="00C35CAB" w:rsidP="00C35C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5CAB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C35C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C35C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C35C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</w:p>
    <w:p w:rsidR="00C35CAB" w:rsidRPr="00C35CAB" w:rsidRDefault="00C35CAB" w:rsidP="00C35C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35CAB">
        <w:rPr>
          <w:rFonts w:ascii="Times New Roman" w:hAnsi="Times New Roman" w:cs="Times New Roman"/>
          <w:b w:val="0"/>
          <w:color w:val="auto"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C35CAB" w:rsidRDefault="00C35CAB" w:rsidP="00C35C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403DF" w:rsidRPr="007403DF" w:rsidRDefault="00C35CAB" w:rsidP="00C35C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1.Общие сведения</w:t>
      </w:r>
    </w:p>
    <w:p w:rsidR="007403DF" w:rsidRPr="007403DF" w:rsidRDefault="007403DF" w:rsidP="00C35C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24CD">
        <w:rPr>
          <w:rFonts w:ascii="Times New Roman" w:hAnsi="Times New Roman" w:cs="Times New Roman"/>
          <w:sz w:val="28"/>
          <w:szCs w:val="28"/>
        </w:rPr>
        <w:t xml:space="preserve">Новгородский </w:t>
      </w:r>
      <w:r w:rsidRPr="007403DF">
        <w:rPr>
          <w:rFonts w:ascii="Times New Roman" w:hAnsi="Times New Roman" w:cs="Times New Roman"/>
          <w:sz w:val="28"/>
          <w:szCs w:val="28"/>
        </w:rPr>
        <w:t xml:space="preserve">областной центр психолого-педагогической, медицинской и социальной помощи создан на основании приказа комитета образования, науки и молодежной политики Новгородской области от 12.03.2004 №181  в соответствии с распоряжением Администрации Новгородской области от 12.03.2004 № 120-рг «О поручении комитету образования области».  В 2015 году Центр переименован в государственное областное бюджетное учреждение «Новгородский областной центр психолого-педагогической, медицинской и социальной помощи» (далее Центр). </w:t>
      </w:r>
    </w:p>
    <w:p w:rsid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Центр обслуживает Великий Новгород и 11 муниципальных районов области (56 % детского населения области). 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Юридический адрес: 173001 Новгородская область, Великий Новгород, ул. Большая Конюшенная, дом 7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Контактный телефон: 8-8162-77-22-80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403DF">
        <w:rPr>
          <w:rFonts w:ascii="Times New Roman" w:hAnsi="Times New Roman" w:cs="Times New Roman"/>
          <w:sz w:val="28"/>
          <w:szCs w:val="28"/>
        </w:rPr>
        <w:t>-</w:t>
      </w:r>
      <w:r w:rsidRPr="007403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03D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403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pmss</w:t>
        </w:r>
        <w:r w:rsidRPr="007403DF">
          <w:rPr>
            <w:rStyle w:val="a7"/>
            <w:rFonts w:ascii="Times New Roman" w:hAnsi="Times New Roman" w:cs="Times New Roman"/>
            <w:sz w:val="28"/>
            <w:szCs w:val="28"/>
          </w:rPr>
          <w:t>772280@</w:t>
        </w:r>
        <w:r w:rsidRPr="007403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403D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03D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7403DF">
        <w:rPr>
          <w:rFonts w:ascii="Times New Roman" w:hAnsi="Times New Roman" w:cs="Times New Roman"/>
          <w:color w:val="000000"/>
          <w:sz w:val="28"/>
          <w:szCs w:val="28"/>
        </w:rPr>
        <w:t>www.nocpmssnov.ru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Директор: Крайнева Елена Ивановна, кандидат педагогических наук, доцент</w:t>
      </w:r>
    </w:p>
    <w:p w:rsid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Режим работы: понедельник-суббота с 8.00 до 20.00 </w:t>
      </w:r>
    </w:p>
    <w:p w:rsidR="00C35CAB" w:rsidRPr="007403DF" w:rsidRDefault="00C35CAB" w:rsidP="00C35C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Центр (Великий Новгород) располагается в здании постройки 1964 года, общей площадью. 887,6 кв. м. на территории в 4068 </w:t>
      </w:r>
      <w:proofErr w:type="spellStart"/>
      <w:r w:rsidRPr="007403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403DF">
        <w:rPr>
          <w:rFonts w:ascii="Times New Roman" w:hAnsi="Times New Roman" w:cs="Times New Roman"/>
          <w:sz w:val="28"/>
          <w:szCs w:val="28"/>
        </w:rPr>
        <w:t xml:space="preserve">. Земельный участок относится к категории земель историко-культурного наследия: культурный слой средневекового Новгорода Х-ХУ веков. Расположение Центра в центральной части города удобно для обращения за помощью жителей любого микрорайона Великого Новгорода и районов Новгородской области. </w:t>
      </w:r>
    </w:p>
    <w:p w:rsidR="00C35CAB" w:rsidRPr="007403DF" w:rsidRDefault="00C35CAB" w:rsidP="00C35CA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03DF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Pr="007403DF">
        <w:rPr>
          <w:rFonts w:ascii="Times New Roman" w:eastAsia="Arial" w:hAnsi="Times New Roman" w:cs="Times New Roman"/>
          <w:sz w:val="28"/>
          <w:szCs w:val="28"/>
          <w:lang w:eastAsia="ru-RU"/>
        </w:rPr>
        <w:t>ля обеспечения доступности</w:t>
      </w:r>
      <w:r w:rsidRPr="007403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услуг </w:t>
      </w:r>
      <w:r w:rsidRPr="007403D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филиалы </w:t>
      </w:r>
      <w:r w:rsidRPr="00740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</w:t>
      </w:r>
      <w:r w:rsidRPr="007403DF">
        <w:rPr>
          <w:rFonts w:ascii="Times New Roman" w:eastAsia="Arial" w:hAnsi="Times New Roman" w:cs="Times New Roman"/>
          <w:kern w:val="24"/>
          <w:sz w:val="28"/>
          <w:szCs w:val="28"/>
          <w:lang w:eastAsia="ru-RU"/>
        </w:rPr>
        <w:t>расположены в городах и городских поселениях Новгородской области.</w:t>
      </w:r>
      <w:r w:rsidRPr="007403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0FD4" w:rsidRDefault="001D0FD4" w:rsidP="001D0FD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03DF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 Центр стал участником трех грантов, проводимых Фондом поддержки детей, находящихся в трудной жизненной ситуации; совместно с </w:t>
      </w:r>
      <w:r w:rsidRPr="007403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ОО «Движение Сельских Женщин» является </w:t>
      </w:r>
      <w:proofErr w:type="gramStart"/>
      <w:r w:rsidRPr="007403DF">
        <w:rPr>
          <w:rFonts w:ascii="Times New Roman" w:hAnsi="Times New Roman" w:cs="Times New Roman"/>
          <w:color w:val="000000"/>
          <w:sz w:val="28"/>
          <w:szCs w:val="28"/>
        </w:rPr>
        <w:t>со-участником</w:t>
      </w:r>
      <w:proofErr w:type="gramEnd"/>
      <w:r w:rsidRPr="007403DF">
        <w:rPr>
          <w:rFonts w:ascii="Times New Roman" w:hAnsi="Times New Roman" w:cs="Times New Roman"/>
          <w:color w:val="000000"/>
          <w:sz w:val="28"/>
          <w:szCs w:val="28"/>
        </w:rPr>
        <w:t xml:space="preserve">  Президентского гранта; </w:t>
      </w:r>
      <w:proofErr w:type="gramStart"/>
      <w:r w:rsidRPr="007403DF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7403DF">
        <w:rPr>
          <w:rFonts w:ascii="Times New Roman" w:eastAsia="Calibri" w:hAnsi="Times New Roman" w:cs="Times New Roman"/>
          <w:sz w:val="28"/>
          <w:szCs w:val="28"/>
        </w:rPr>
        <w:t>победителем конкурса</w:t>
      </w:r>
      <w:r w:rsidRPr="007403DF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в 2019 году грантов в форме субсидий из федерального бюджета юридическим лицам в рамках реализации мероприятия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федерального проекта «Поддержка семей, имеющих детей» национального проекта «Образование»; участником двух областных проектов, организованных совместно с АСИ.</w:t>
      </w:r>
      <w:proofErr w:type="gramEnd"/>
    </w:p>
    <w:p w:rsidR="00221286" w:rsidRPr="00041416" w:rsidRDefault="00221286" w:rsidP="00221286">
      <w:pPr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416">
        <w:rPr>
          <w:rFonts w:ascii="Times New Roman" w:hAnsi="Times New Roman" w:cs="Times New Roman"/>
          <w:spacing w:val="-6"/>
          <w:sz w:val="28"/>
          <w:szCs w:val="28"/>
        </w:rPr>
        <w:t>Деятельность Центра соответствует требованиям законодательства в сфере образования:</w:t>
      </w:r>
    </w:p>
    <w:p w:rsidR="00221286" w:rsidRPr="00041416" w:rsidRDefault="00221286" w:rsidP="0022128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041416">
        <w:rPr>
          <w:rFonts w:ascii="Times New Roman" w:hAnsi="Times New Roman" w:cs="Times New Roman"/>
          <w:spacing w:val="-6"/>
          <w:sz w:val="28"/>
          <w:szCs w:val="28"/>
        </w:rPr>
        <w:t>за отчетный период отсутствуют жалобы, обоснованность которых подтверждена в ходе их рассмотрения на основании Федерального закона от 2 мая 2006 года № 59-ФЗ;</w:t>
      </w:r>
    </w:p>
    <w:p w:rsidR="00221286" w:rsidRPr="00041416" w:rsidRDefault="00221286" w:rsidP="0022128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041416">
        <w:rPr>
          <w:rFonts w:ascii="Times New Roman" w:hAnsi="Times New Roman" w:cs="Times New Roman"/>
          <w:spacing w:val="-6"/>
          <w:sz w:val="28"/>
          <w:szCs w:val="28"/>
        </w:rPr>
        <w:t>отсутствуют</w:t>
      </w:r>
      <w:r w:rsidRPr="00041416">
        <w:rPr>
          <w:rFonts w:ascii="Times New Roman" w:hAnsi="Times New Roman" w:cs="Times New Roman"/>
          <w:sz w:val="28"/>
          <w:szCs w:val="28"/>
        </w:rPr>
        <w:t xml:space="preserve"> правонарушения, выявленные в ходе проверок органов контроля (надзора);</w:t>
      </w:r>
    </w:p>
    <w:p w:rsidR="00221286" w:rsidRPr="00221286" w:rsidRDefault="00221286" w:rsidP="0022128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1286">
        <w:rPr>
          <w:rFonts w:ascii="Times New Roman" w:hAnsi="Times New Roman" w:cs="Times New Roman"/>
          <w:sz w:val="28"/>
          <w:szCs w:val="28"/>
        </w:rPr>
        <w:t>объем выполнения установленного государственного задания за 2016 год составляет 100%.</w:t>
      </w:r>
    </w:p>
    <w:p w:rsidR="00221286" w:rsidRPr="007403DF" w:rsidRDefault="00221286" w:rsidP="001D0FD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5CAB" w:rsidRPr="00C35CAB" w:rsidRDefault="00C35CAB" w:rsidP="00C35C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CAB">
        <w:rPr>
          <w:rFonts w:ascii="Times New Roman" w:hAnsi="Times New Roman" w:cs="Times New Roman"/>
          <w:b/>
          <w:sz w:val="28"/>
          <w:szCs w:val="28"/>
        </w:rPr>
        <w:t>2. Оценка системы управления организацией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Учредителем Центра является Новгородская область. Функции и полномочия учредителя от имени области осуществляет Министерство образования Новгородской области. 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Центр осуществляет свою деятельность в соответствии с Уставом государственного областного бюджетного учреждения «Новгородский областной центр психолого-педагогической, медицинской и социальной помощи», утвержденным приказом департамента образования и молодежной политики Новгородской области от 26 октября 2015 г. № 1025 и согласованным с заместителем руководителя департамента по управлению государственным  имуществом области Р.В. </w:t>
      </w:r>
      <w:proofErr w:type="spellStart"/>
      <w:r w:rsidRPr="007403DF">
        <w:rPr>
          <w:rFonts w:ascii="Times New Roman" w:hAnsi="Times New Roman" w:cs="Times New Roman"/>
          <w:sz w:val="28"/>
          <w:szCs w:val="28"/>
        </w:rPr>
        <w:t>Тарусовым</w:t>
      </w:r>
      <w:proofErr w:type="spellEnd"/>
      <w:r w:rsidRPr="00740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3DF" w:rsidRPr="007403DF" w:rsidRDefault="007403DF" w:rsidP="0074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403DF">
        <w:rPr>
          <w:rFonts w:ascii="Times New Roman" w:hAnsi="Times New Roman" w:cs="Times New Roman"/>
          <w:sz w:val="28"/>
          <w:szCs w:val="28"/>
        </w:rPr>
        <w:t>В структуру Центра входят 4 отдела: отдел материально-технического обеспечения, отдел сопровождения детей раннего и дошкольного возраста (со службой ранней помощи), отдел сопровождения детей и подростков школьного возраста (со службой сопровождения детей, попавших в сложную жизненную ситуацию), отдел комплексного обследования и методического сопровождения  (с центральной ПМПК) и 5 филиалов.</w:t>
      </w:r>
      <w:proofErr w:type="gramEnd"/>
    </w:p>
    <w:p w:rsidR="00C35CAB" w:rsidRDefault="00C35CAB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Центром осуществляется в соответствии с действующим законодательством и Уставом.</w:t>
      </w:r>
    </w:p>
    <w:p w:rsidR="00C35CAB" w:rsidRDefault="00C35CAB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021E">
        <w:rPr>
          <w:rFonts w:ascii="Times New Roman" w:hAnsi="Times New Roman" w:cs="Times New Roman"/>
          <w:sz w:val="28"/>
          <w:szCs w:val="28"/>
        </w:rPr>
        <w:t>Управление строится на принципах единоначалия и коллегиальности. Коллегиальными органами управления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21E">
        <w:rPr>
          <w:rFonts w:ascii="Times New Roman" w:hAnsi="Times New Roman" w:cs="Times New Roman"/>
          <w:sz w:val="28"/>
          <w:szCs w:val="28"/>
        </w:rPr>
        <w:t>общее собрание трудового коллектива, Административный Совет, Педагогический Совет, Совет Центра.</w:t>
      </w:r>
    </w:p>
    <w:p w:rsidR="006A46C8" w:rsidRDefault="006A46C8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система управления соответствуют специфике деятельности Центра. По итогам 2019 года система управления Центра оценивается как эффективная, позволяющая учесть мнение работников и всех участников образовательных отношений. В следующем году изменение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системы управления не планируется.</w:t>
      </w:r>
    </w:p>
    <w:p w:rsidR="006A46C8" w:rsidRDefault="006A46C8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46C8" w:rsidRPr="006A46C8" w:rsidRDefault="006A46C8" w:rsidP="006A46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C8">
        <w:rPr>
          <w:rFonts w:ascii="Times New Roman" w:hAnsi="Times New Roman" w:cs="Times New Roman"/>
          <w:b/>
          <w:sz w:val="28"/>
          <w:szCs w:val="28"/>
        </w:rPr>
        <w:t>3. Оценка кадрового обеспечения</w:t>
      </w:r>
    </w:p>
    <w:p w:rsidR="007403DF" w:rsidRPr="007403DF" w:rsidRDefault="007403DF" w:rsidP="007403DF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403DF">
        <w:rPr>
          <w:rFonts w:ascii="Times New Roman" w:hAnsi="Times New Roman" w:cs="Times New Roman"/>
          <w:color w:val="auto"/>
          <w:sz w:val="28"/>
          <w:szCs w:val="28"/>
        </w:rPr>
        <w:t xml:space="preserve">Кадровый состав: </w:t>
      </w:r>
      <w:r w:rsidRPr="007403DF">
        <w:rPr>
          <w:rFonts w:ascii="Times New Roman" w:hAnsi="Times New Roman" w:cs="Times New Roman"/>
          <w:sz w:val="28"/>
          <w:szCs w:val="28"/>
          <w:shd w:val="clear" w:color="auto" w:fill="FFFFFF"/>
        </w:rPr>
        <w:t>в штатном расписании Центра 12 структурных подразделений, 101,75 единицы. На 31.12.2019 года в Центре числится 103 работника, в том числе 27 совместителей</w:t>
      </w:r>
      <w:r w:rsidRPr="007403D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. </w:t>
      </w:r>
    </w:p>
    <w:p w:rsidR="007403DF" w:rsidRPr="007403DF" w:rsidRDefault="007403DF" w:rsidP="007403D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персонал Центра представлен педагогами-психологами, учителями-дефектологами, учителями-логопедами, социальными педагогами, тьюторами, методистами. В Центре 71 педагогических работника, </w:t>
      </w:r>
      <w:r w:rsidRPr="007403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которых 56 списочного состава (79%) и 15 совместителей (21%). </w:t>
      </w:r>
      <w:r w:rsidRPr="007403DF">
        <w:rPr>
          <w:rFonts w:ascii="Times New Roman" w:hAnsi="Times New Roman" w:cs="Times New Roman"/>
          <w:sz w:val="28"/>
          <w:szCs w:val="28"/>
          <w:shd w:val="clear" w:color="auto" w:fill="FFFFFF"/>
        </w:rPr>
        <w:t>70 педагогических работников имеют высшее образование, 1 среднее профессиональное – 1 (воспитатель).</w:t>
      </w:r>
      <w:r w:rsidRPr="007403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03DF">
        <w:rPr>
          <w:rFonts w:ascii="Times New Roman" w:hAnsi="Times New Roman" w:cs="Times New Roman"/>
          <w:color w:val="000000"/>
          <w:sz w:val="28"/>
          <w:szCs w:val="28"/>
        </w:rPr>
        <w:t>Крайнева Елена Ивановна, директор,</w:t>
      </w:r>
      <w:r w:rsidRPr="007403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403DF">
        <w:rPr>
          <w:rFonts w:ascii="Times New Roman" w:hAnsi="Times New Roman" w:cs="Times New Roman"/>
          <w:color w:val="000000"/>
          <w:sz w:val="28"/>
          <w:szCs w:val="28"/>
        </w:rPr>
        <w:t xml:space="preserve">имеет ученую степень кандидата педагогических наук, звание «доцент», награждена значком «Почетный работник общего образования РФ». </w:t>
      </w:r>
      <w:r w:rsidRPr="007403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Учитель-дефектолог Иванова Оксана Игоревна </w:t>
      </w:r>
      <w:r w:rsidRPr="007403DF">
        <w:rPr>
          <w:rFonts w:ascii="Times New Roman" w:hAnsi="Times New Roman" w:cs="Times New Roman"/>
          <w:color w:val="000000"/>
          <w:sz w:val="28"/>
          <w:szCs w:val="28"/>
        </w:rPr>
        <w:t>имеет ученую степень кандидата педагогических наук, ученое звание доцента. Смирнова Наталья Николаевна, учитель-дефектолог, награждена значком «Почетный работник общего образования РФ».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Одним из решающих факторов формирования интеллектуальных ресурсов, обеспечения высокого уровня профессионализма специалистов Центра является аттестация педагогических работников. </w:t>
      </w:r>
    </w:p>
    <w:p w:rsid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Из 71 педагогического работника имеют квалификационные категории 49 человек (69%), высшую квалификационную категорию 39 человек (55%), первую квалификационную категорию – 10 человек (19,7%). Все заведующие филиалами (5 человек) имеют квалификационные категории по совмещаемой должности.</w:t>
      </w:r>
    </w:p>
    <w:p w:rsidR="007403DF" w:rsidRPr="0089146B" w:rsidRDefault="0089146B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Центре </w:t>
      </w:r>
      <w:r w:rsidR="007403DF" w:rsidRPr="0089146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</w:t>
      </w:r>
      <w:r w:rsidRPr="0089146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7403DF" w:rsidRPr="0089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Pr="0089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профессиональные стандарты </w:t>
      </w:r>
      <w:r w:rsidR="007403DF" w:rsidRPr="0089146B">
        <w:rPr>
          <w:rFonts w:ascii="Times New Roman" w:hAnsi="Times New Roman" w:cs="Times New Roman"/>
          <w:sz w:val="28"/>
          <w:szCs w:val="28"/>
          <w:shd w:val="clear" w:color="auto" w:fill="FFFFFF"/>
        </w:rPr>
        <w:t>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021E" w:rsidRPr="009307A6" w:rsidRDefault="006A46C8" w:rsidP="000E021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свой профессиональный уровень, эффективно участвуют в методической работе, знакомятся с опытом своих коллег, саморазвиваются, активно транслируют опыт своей работы на областном </w:t>
      </w:r>
      <w:r w:rsidR="000E021E">
        <w:rPr>
          <w:rFonts w:ascii="Times New Roman" w:hAnsi="Times New Roman" w:cs="Times New Roman"/>
          <w:sz w:val="28"/>
          <w:szCs w:val="28"/>
        </w:rPr>
        <w:t xml:space="preserve"> и всероссийском уровн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  <w:r w:rsidR="000E021E">
        <w:rPr>
          <w:rFonts w:ascii="Times New Roman" w:hAnsi="Times New Roman" w:cs="Times New Roman"/>
          <w:sz w:val="28"/>
          <w:szCs w:val="28"/>
        </w:rPr>
        <w:t xml:space="preserve">В 2019 году специалисты </w:t>
      </w:r>
      <w:r w:rsidR="000E021E" w:rsidRPr="009307A6">
        <w:rPr>
          <w:rFonts w:ascii="Times New Roman" w:hAnsi="Times New Roman" w:cs="Times New Roman"/>
          <w:sz w:val="28"/>
          <w:szCs w:val="28"/>
          <w:lang w:eastAsia="ru-RU"/>
        </w:rPr>
        <w:t xml:space="preserve">транслировали опыт </w:t>
      </w:r>
      <w:r w:rsidR="000E021E">
        <w:rPr>
          <w:rFonts w:ascii="Times New Roman" w:hAnsi="Times New Roman" w:cs="Times New Roman"/>
          <w:sz w:val="28"/>
          <w:szCs w:val="28"/>
          <w:lang w:eastAsia="ru-RU"/>
        </w:rPr>
        <w:t xml:space="preserve">работы </w:t>
      </w:r>
      <w:r w:rsidR="000E021E" w:rsidRPr="009307A6">
        <w:rPr>
          <w:rFonts w:ascii="Times New Roman" w:hAnsi="Times New Roman" w:cs="Times New Roman"/>
          <w:sz w:val="28"/>
          <w:szCs w:val="28"/>
          <w:lang w:eastAsia="ru-RU"/>
        </w:rPr>
        <w:t xml:space="preserve">на научно-практическом семинаре </w:t>
      </w:r>
      <w:r w:rsidR="000E021E">
        <w:rPr>
          <w:rFonts w:ascii="Times New Roman" w:hAnsi="Times New Roman" w:cs="Times New Roman"/>
          <w:sz w:val="28"/>
          <w:szCs w:val="28"/>
          <w:lang w:eastAsia="ru-RU"/>
        </w:rPr>
        <w:t>по теме</w:t>
      </w:r>
      <w:r w:rsidR="000E021E" w:rsidRPr="009307A6">
        <w:rPr>
          <w:rFonts w:ascii="Times New Roman" w:hAnsi="Times New Roman" w:cs="Times New Roman"/>
          <w:sz w:val="28"/>
          <w:szCs w:val="28"/>
          <w:lang w:eastAsia="ru-RU"/>
        </w:rPr>
        <w:t xml:space="preserve"> «Создание и развитие служб ранней помощи» для специалистов учреждений здравоохранения Таджикистана;</w:t>
      </w:r>
    </w:p>
    <w:p w:rsidR="000E021E" w:rsidRPr="009307A6" w:rsidRDefault="000E021E" w:rsidP="000E021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участвовали в работе </w:t>
      </w:r>
      <w:r w:rsidRPr="009307A6">
        <w:rPr>
          <w:rFonts w:ascii="Times New Roman" w:hAnsi="Times New Roman" w:cs="Times New Roman"/>
          <w:sz w:val="28"/>
          <w:szCs w:val="28"/>
          <w:lang w:eastAsia="ru-RU"/>
        </w:rPr>
        <w:t>профессиональных стажировочных площадок фонда поддержки детей, находящихся в трудной жизненной ситуации провели выездную площадку «Практики работы с семьей ребенка раннего возраста с ограничениями жизнедеятельности»;</w:t>
      </w:r>
    </w:p>
    <w:p w:rsidR="000E021E" w:rsidRPr="009307A6" w:rsidRDefault="000E021E" w:rsidP="000E021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A6">
        <w:rPr>
          <w:rFonts w:ascii="Times New Roman" w:hAnsi="Times New Roman" w:cs="Times New Roman"/>
          <w:sz w:val="28"/>
          <w:szCs w:val="28"/>
        </w:rPr>
        <w:t>трансл</w:t>
      </w:r>
      <w:r>
        <w:rPr>
          <w:rFonts w:ascii="Times New Roman" w:hAnsi="Times New Roman" w:cs="Times New Roman"/>
          <w:sz w:val="28"/>
          <w:szCs w:val="28"/>
        </w:rPr>
        <w:t>ировали опыт</w:t>
      </w:r>
      <w:r w:rsidRPr="009307A6">
        <w:rPr>
          <w:rFonts w:ascii="Times New Roman" w:hAnsi="Times New Roman" w:cs="Times New Roman"/>
          <w:sz w:val="28"/>
          <w:szCs w:val="28"/>
        </w:rPr>
        <w:t xml:space="preserve"> на межрегиональной научно-практической конференции «Актуальные вопросы оказания услуг ранней помощи детям и их семьям» г. Екатеринбург;</w:t>
      </w:r>
    </w:p>
    <w:p w:rsidR="000E021E" w:rsidRPr="009307A6" w:rsidRDefault="000E021E" w:rsidP="000E021E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930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07A6">
        <w:rPr>
          <w:rFonts w:ascii="Times New Roman" w:hAnsi="Times New Roman" w:cs="Times New Roman"/>
          <w:sz w:val="28"/>
          <w:szCs w:val="28"/>
        </w:rPr>
        <w:t>региональный форум «Эффективные практики помощи детям раннего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AB8" w:rsidRPr="007403DF" w:rsidRDefault="00273AB8" w:rsidP="00273A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В сборнике «Инклюзивное образование. </w:t>
      </w:r>
      <w:proofErr w:type="gramStart"/>
      <w:r w:rsidRPr="007403DF">
        <w:rPr>
          <w:rFonts w:ascii="Times New Roman" w:hAnsi="Times New Roman" w:cs="Times New Roman"/>
          <w:sz w:val="28"/>
          <w:szCs w:val="28"/>
        </w:rPr>
        <w:t xml:space="preserve">Новая образовательная практика» опубликованы статьи  педагога-психолога </w:t>
      </w:r>
      <w:proofErr w:type="spellStart"/>
      <w:r w:rsidRPr="007403DF">
        <w:rPr>
          <w:rFonts w:ascii="Times New Roman" w:hAnsi="Times New Roman" w:cs="Times New Roman"/>
          <w:sz w:val="28"/>
          <w:szCs w:val="28"/>
        </w:rPr>
        <w:t>Кляузовой</w:t>
      </w:r>
      <w:proofErr w:type="spellEnd"/>
      <w:r w:rsidRPr="007403DF">
        <w:rPr>
          <w:rFonts w:ascii="Times New Roman" w:hAnsi="Times New Roman" w:cs="Times New Roman"/>
          <w:sz w:val="28"/>
          <w:szCs w:val="28"/>
        </w:rPr>
        <w:t xml:space="preserve"> М.В.: «Разработка и реализация адаптированной образовательной программы обучающихся с ОВЗ», «Создание образовательных условий для детей с ЗПР» ([Текст]/Баранова М.В. [и др.]: под ред. В.В. </w:t>
      </w:r>
      <w:proofErr w:type="spellStart"/>
      <w:r w:rsidRPr="007403DF">
        <w:rPr>
          <w:rFonts w:ascii="Times New Roman" w:hAnsi="Times New Roman" w:cs="Times New Roman"/>
          <w:sz w:val="28"/>
          <w:szCs w:val="28"/>
        </w:rPr>
        <w:t>Кирышевой</w:t>
      </w:r>
      <w:proofErr w:type="spellEnd"/>
      <w:r w:rsidRPr="007403DF"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 w:rsidRPr="007403DF">
        <w:rPr>
          <w:rFonts w:ascii="Times New Roman" w:hAnsi="Times New Roman" w:cs="Times New Roman"/>
          <w:sz w:val="28"/>
          <w:szCs w:val="28"/>
        </w:rPr>
        <w:t>Суровневой</w:t>
      </w:r>
      <w:proofErr w:type="spellEnd"/>
      <w:r w:rsidRPr="00740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03DF">
        <w:rPr>
          <w:rFonts w:ascii="Times New Roman" w:hAnsi="Times New Roman" w:cs="Times New Roman"/>
          <w:sz w:val="28"/>
          <w:szCs w:val="28"/>
        </w:rPr>
        <w:t xml:space="preserve"> – Великий Новгород: </w:t>
      </w:r>
      <w:proofErr w:type="gramStart"/>
      <w:r w:rsidRPr="007403DF">
        <w:rPr>
          <w:rFonts w:ascii="Times New Roman" w:hAnsi="Times New Roman" w:cs="Times New Roman"/>
          <w:sz w:val="28"/>
          <w:szCs w:val="28"/>
        </w:rPr>
        <w:t>МАУ МООД «ИОМКР», 2019. – 48с.)</w:t>
      </w:r>
      <w:proofErr w:type="gramEnd"/>
    </w:p>
    <w:p w:rsidR="006A46C8" w:rsidRDefault="000E021E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планируется продолжить трансляции опыта работы на всероссийском уровне, а также увеличить количество публикаций в различных изданиях.</w:t>
      </w:r>
    </w:p>
    <w:p w:rsidR="000E021E" w:rsidRDefault="000E021E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A46C8" w:rsidRPr="006A46C8" w:rsidRDefault="006A46C8" w:rsidP="006A46C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C8">
        <w:rPr>
          <w:rFonts w:ascii="Times New Roman" w:hAnsi="Times New Roman" w:cs="Times New Roman"/>
          <w:b/>
          <w:sz w:val="28"/>
          <w:szCs w:val="28"/>
        </w:rPr>
        <w:t>4. Оценка материально-технической базы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Центр оснащен программно-методическим обеспечением. Это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-программы компьютерной обработки блока психологических тестов (ПКОБПТ) (14 наименований), в 2019 году приобретена программа </w:t>
      </w:r>
      <w:r w:rsidRPr="007403DF">
        <w:rPr>
          <w:rFonts w:ascii="Times New Roman" w:hAnsi="Times New Roman" w:cs="Times New Roman"/>
          <w:color w:val="272727"/>
          <w:sz w:val="28"/>
          <w:szCs w:val="28"/>
        </w:rPr>
        <w:t>«1С: Психодиагностика образовательного учреждения», представляющая собой инструментарий для проведения компьютерной психодиагностики детей и подростков, для сбора и консолидации результатов тестирования;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-профессиональные психологические инструментарии с программным обеспечением (12 наименований)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-профессиональные психологические инструментарии.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Для индивидуальных, групповых  занятий с детьми используется игровое оборудование и инвентарь: комплекс </w:t>
      </w:r>
      <w:proofErr w:type="spellStart"/>
      <w:r w:rsidRPr="007403D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7403DF">
        <w:rPr>
          <w:rFonts w:ascii="Times New Roman" w:hAnsi="Times New Roman" w:cs="Times New Roman"/>
          <w:sz w:val="28"/>
          <w:szCs w:val="28"/>
        </w:rPr>
        <w:t xml:space="preserve">, тактильные развивающие модули, сенсорное оборудование, лекотека игрушек, Нумикон; приобретено специализированное оборудование для позиционирования. Для развития альтернативной и  дополнительной коммуникации используются: альбомы </w:t>
      </w:r>
      <w:r w:rsidRPr="007403DF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Pr="007403DF">
        <w:rPr>
          <w:rFonts w:ascii="Times New Roman" w:hAnsi="Times New Roman" w:cs="Times New Roman"/>
          <w:sz w:val="28"/>
          <w:szCs w:val="28"/>
        </w:rPr>
        <w:t>, коммуникаторы, планеры, планшеты, видеокамеры, интерактивный стол и др.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В 2019 году приобретено оборудование на сумму 3 230 346 рублей.</w:t>
      </w:r>
    </w:p>
    <w:p w:rsidR="007403DF" w:rsidRDefault="007403DF" w:rsidP="007403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03DF">
        <w:rPr>
          <w:rFonts w:ascii="Times New Roman" w:hAnsi="Times New Roman" w:cs="Times New Roman"/>
          <w:color w:val="000000"/>
          <w:sz w:val="28"/>
          <w:szCs w:val="28"/>
        </w:rPr>
        <w:t>Центр полностью обеспечен компьютерной техникой.</w:t>
      </w:r>
    </w:p>
    <w:p w:rsidR="006A46C8" w:rsidRDefault="000E021E" w:rsidP="007403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состояние Центра и территории соответствует санитарно-эпидемиологическим требованиям к устройству, содержанию и организации режима работы Центра, правилам безопасности, требованиям охраны труда.</w:t>
      </w:r>
    </w:p>
    <w:p w:rsidR="000E021E" w:rsidRPr="007403DF" w:rsidRDefault="000E021E" w:rsidP="007403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7403DF" w:rsidRPr="000E021E" w:rsidRDefault="000E021E" w:rsidP="000E021E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21E">
        <w:rPr>
          <w:rFonts w:ascii="Times New Roman" w:hAnsi="Times New Roman" w:cs="Times New Roman"/>
          <w:b/>
          <w:color w:val="000000"/>
          <w:sz w:val="28"/>
          <w:szCs w:val="28"/>
        </w:rPr>
        <w:t>5. Оценка деятельности Центра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03DF">
        <w:rPr>
          <w:rFonts w:ascii="Times New Roman" w:hAnsi="Times New Roman" w:cs="Times New Roman"/>
          <w:color w:val="000000"/>
          <w:sz w:val="28"/>
          <w:szCs w:val="28"/>
        </w:rPr>
        <w:t>Основной целью деятельности Центра в соответствии с Уставом является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адаптации.</w:t>
      </w:r>
    </w:p>
    <w:p w:rsidR="007403DF" w:rsidRPr="007403DF" w:rsidRDefault="007403DF" w:rsidP="007403D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03DF">
        <w:rPr>
          <w:rFonts w:ascii="Times New Roman" w:hAnsi="Times New Roman" w:cs="Times New Roman"/>
          <w:color w:val="000000"/>
          <w:sz w:val="28"/>
          <w:szCs w:val="28"/>
        </w:rPr>
        <w:t xml:space="preserve">Центр осуществляет следующие виды деятельности, относящиеся </w:t>
      </w:r>
      <w:proofErr w:type="gramStart"/>
      <w:r w:rsidRPr="007403D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403DF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основной:</w:t>
      </w:r>
    </w:p>
    <w:p w:rsidR="007403DF" w:rsidRPr="007403DF" w:rsidRDefault="007403DF" w:rsidP="0074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 (в 2019 </w:t>
      </w:r>
      <w:r w:rsidRPr="007403DF">
        <w:rPr>
          <w:rFonts w:ascii="Times New Roman" w:hAnsi="Times New Roman" w:cs="Times New Roman"/>
          <w:sz w:val="28"/>
          <w:szCs w:val="28"/>
        </w:rPr>
        <w:lastRenderedPageBreak/>
        <w:t>году 8048 клиентов Центра получили 14459,4 консультационных услуг);</w:t>
      </w:r>
    </w:p>
    <w:p w:rsidR="007403DF" w:rsidRPr="007403DF" w:rsidRDefault="007403DF" w:rsidP="0074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коррекционно-развивающая работа (индивидуальные КРЗ занятия в 2019 году посетили 835 детей в возрасте от 0 до 18 лет, групповая работа организована для 647 детей);</w:t>
      </w:r>
    </w:p>
    <w:p w:rsidR="007403DF" w:rsidRPr="007403DF" w:rsidRDefault="007403DF" w:rsidP="0074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комплекс реабилитационных и других медицинских мероприятий;</w:t>
      </w:r>
    </w:p>
    <w:p w:rsidR="007403DF" w:rsidRPr="007403DF" w:rsidRDefault="007403DF" w:rsidP="0074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оказание помощи организациям, </w:t>
      </w:r>
      <w:proofErr w:type="gramStart"/>
      <w:r w:rsidRPr="007403DF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7403DF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 По вопросам реализации основных общеобразовательных программ, обучения и воспитания обучающихся, в том числе осуществление психолого-педагогического сопровождения реализации основных общеобразовательных программ; </w:t>
      </w:r>
    </w:p>
    <w:p w:rsidR="007403DF" w:rsidRPr="007403DF" w:rsidRDefault="007403DF" w:rsidP="0074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 (в 2019 году за методической помощью обратилось 2223 педагогических </w:t>
      </w:r>
      <w:proofErr w:type="gramStart"/>
      <w:r w:rsidRPr="007403D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7403DF">
        <w:rPr>
          <w:rFonts w:ascii="Times New Roman" w:hAnsi="Times New Roman" w:cs="Times New Roman"/>
          <w:sz w:val="28"/>
          <w:szCs w:val="28"/>
        </w:rPr>
        <w:t xml:space="preserve"> с которыми проведено 481 мероприятие);</w:t>
      </w:r>
    </w:p>
    <w:p w:rsidR="007403DF" w:rsidRPr="007403DF" w:rsidRDefault="007403DF" w:rsidP="0074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проведение мониторинга эффективности оказываемой организациями, осуществляющими образовательную деятельность. </w:t>
      </w:r>
      <w:proofErr w:type="gramStart"/>
      <w:r w:rsidRPr="007403DF">
        <w:rPr>
          <w:rFonts w:ascii="Times New Roman" w:hAnsi="Times New Roman" w:cs="Times New Roman"/>
          <w:sz w:val="28"/>
          <w:szCs w:val="28"/>
        </w:rPr>
        <w:t>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(в 2019 году в соответствии с приказ министерства образования Новгородской области №304 от 20.03.2019 проведен мониторинг учета рекомендаций ПМПК Новгородской области по созданию специальных условий обучения и воспитания детей с ограниченными возможностями здоровья в 2019 году.</w:t>
      </w:r>
      <w:proofErr w:type="gramEnd"/>
      <w:r w:rsidRPr="0074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3DF">
        <w:rPr>
          <w:rFonts w:ascii="Times New Roman" w:hAnsi="Times New Roman" w:cs="Times New Roman"/>
          <w:sz w:val="28"/>
          <w:szCs w:val="28"/>
        </w:rPr>
        <w:t>В мониторинге приняли участие 46 образовательных организаций Новгородской области);</w:t>
      </w:r>
      <w:proofErr w:type="gramEnd"/>
    </w:p>
    <w:p w:rsidR="007403DF" w:rsidRPr="007403DF" w:rsidRDefault="007403DF" w:rsidP="0074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осуществление функций психолого-медико-педагогической комиссии (в 2019 году специалистами Центра обследовано 1202 детей);</w:t>
      </w:r>
    </w:p>
    <w:p w:rsidR="007403DF" w:rsidRPr="007403DF" w:rsidRDefault="007403DF" w:rsidP="007403D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организация тьюторского </w:t>
      </w:r>
      <w:r w:rsidRPr="007403DF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сопровождения </w:t>
      </w:r>
      <w:proofErr w:type="gramStart"/>
      <w:r w:rsidRPr="007403D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403DF">
        <w:rPr>
          <w:rFonts w:ascii="Times New Roman" w:hAnsi="Times New Roman" w:cs="Times New Roman"/>
          <w:color w:val="000000"/>
          <w:sz w:val="28"/>
          <w:szCs w:val="28"/>
        </w:rPr>
        <w:t>, являющихся детьми-инвалидами (в 2019 году на сопровождении Центра находился 11  обучающийся, которых сопровождало 7 тьюторов);</w:t>
      </w:r>
    </w:p>
    <w:p w:rsidR="007403DF" w:rsidRPr="007403DF" w:rsidRDefault="007403DF" w:rsidP="0074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основным общеобразовательным программам - образовательным программам дошкольного образования (6 </w:t>
      </w:r>
      <w:proofErr w:type="gramStart"/>
      <w:r w:rsidRPr="007403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03D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03DF" w:rsidRPr="007403DF" w:rsidRDefault="007403DF" w:rsidP="007403D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организация методической, научной, творческой и инновационной деятельности (в 2019 году продолжена реализация проекта региональной инновационной площадки «Методика организации педагогической деятельности по повышению качества образования в начальной школе на основе мониторинговых исследований»);</w:t>
      </w:r>
    </w:p>
    <w:p w:rsidR="007403DF" w:rsidRPr="007403DF" w:rsidRDefault="007403DF" w:rsidP="007403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3DF">
        <w:rPr>
          <w:rFonts w:ascii="Times New Roman" w:hAnsi="Times New Roman" w:cs="Times New Roman"/>
          <w:color w:val="000000"/>
          <w:sz w:val="28"/>
          <w:szCs w:val="28"/>
        </w:rPr>
        <w:t>разработка системы социальных, педагогических, психологических мероприятий для создания психологически безопасной, развивающей образовательной среды, формирование социально-психологической компетентности всех участников образовательного процесса;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03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мероприятий по региональному, межрегиональному и международному сотрудничеству в сфере образования, обмену обучающимися и педагогическими работниками.</w:t>
      </w:r>
    </w:p>
    <w:p w:rsidR="00221286" w:rsidRPr="007403DF" w:rsidRDefault="00221286" w:rsidP="00221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На 2019 год министерством образования Новгородской области 09.01.2019 г утверждено государственное задание № 1 на 2019 год и на плановый период 2020 и 2021 годов (с изменениями от 09.04.2019г). Государственное задание предусматривает выполнение следующих услуг и работ:</w:t>
      </w:r>
    </w:p>
    <w:p w:rsidR="00221286" w:rsidRPr="007403DF" w:rsidRDefault="00221286" w:rsidP="00221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- подготовка граждан, выразивших желание принять детей-сирот и детей, оставшихся без попечения родителей, на семейные формы устройства;</w:t>
      </w:r>
    </w:p>
    <w:p w:rsidR="00221286" w:rsidRPr="007403DF" w:rsidRDefault="00221286" w:rsidP="00221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- психолого-медико-педагогическая реабилитация детей, находящихся в замещающих семьях и под опекой;</w:t>
      </w:r>
    </w:p>
    <w:p w:rsidR="00221286" w:rsidRPr="007403DF" w:rsidRDefault="00221286" w:rsidP="00221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- коррекционно-развивающая, компенсирующая и логопедическая помощь </w:t>
      </w:r>
      <w:proofErr w:type="gramStart"/>
      <w:r w:rsidRPr="007403D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403DF">
        <w:rPr>
          <w:rFonts w:ascii="Times New Roman" w:hAnsi="Times New Roman" w:cs="Times New Roman"/>
          <w:sz w:val="28"/>
          <w:szCs w:val="28"/>
        </w:rPr>
        <w:t>;</w:t>
      </w:r>
    </w:p>
    <w:p w:rsidR="00221286" w:rsidRPr="007403DF" w:rsidRDefault="00221286" w:rsidP="00221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- психолого-медико-педагогическое обследование детей;</w:t>
      </w:r>
    </w:p>
    <w:p w:rsidR="00221286" w:rsidRPr="007403DF" w:rsidRDefault="00221286" w:rsidP="00221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221286" w:rsidRPr="007403DF" w:rsidRDefault="00221286" w:rsidP="00221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- реализация дополнительных профессиональных программ повышения квалификации;</w:t>
      </w:r>
    </w:p>
    <w:p w:rsidR="00221286" w:rsidRPr="007403DF" w:rsidRDefault="00221286" w:rsidP="00221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дошкольного образования.</w:t>
      </w:r>
    </w:p>
    <w:p w:rsidR="00221286" w:rsidRDefault="00221286" w:rsidP="002212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В целях исполнения государственного задания № 1 на 2019 год издан приказ Центра от 24.01.2019г № 6 «О выполнении государственного задания на 2019 год». Сотрудники центра с приказом ознакомлены.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b/>
          <w:sz w:val="28"/>
          <w:szCs w:val="28"/>
        </w:rPr>
        <w:t xml:space="preserve">Услуга 7, 8 «Реализация основных общеобразовательных программ дошкольного образования» </w:t>
      </w:r>
      <w:r w:rsidRPr="007403DF">
        <w:rPr>
          <w:rFonts w:ascii="Times New Roman" w:hAnsi="Times New Roman" w:cs="Times New Roman"/>
          <w:sz w:val="28"/>
          <w:szCs w:val="28"/>
        </w:rPr>
        <w:t>среднегодовое число обучающихся – 6, при плане – 6.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Жалоб со стороны получателей государственной услуги нет. 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Получена лицензия № 319 от 20.11.2015 на осуществление образовательной деятельности по дошкольному образованию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В целях реализации услуги разработана основная общеобразовательная программа дошкольного образования, адаптированные образовательные программы дошкольного образования </w:t>
      </w:r>
      <w:proofErr w:type="gramStart"/>
      <w:r w:rsidRPr="007403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03DF">
        <w:rPr>
          <w:rFonts w:ascii="Times New Roman" w:hAnsi="Times New Roman" w:cs="Times New Roman"/>
          <w:sz w:val="28"/>
          <w:szCs w:val="28"/>
        </w:rPr>
        <w:t xml:space="preserve"> обучающегося (в соответствии с ФГОС ДОО). Зачисление на обучение осуществляется на основании Приказов министерства образования Новгородской области на организацию обучения на дому обучающегося и приказов ГОБУ НОЦППМС.</w:t>
      </w:r>
    </w:p>
    <w:p w:rsidR="007403DF" w:rsidRP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>В целях упорядочения предоставления услуги разработаны: Положение о порядке регламентации и оформления отношений ГОБУ НОЦППМС с родителями (законными представителями) детей-инвалидов; Положение об обучении детей-инвалидов дошкольного возраста на дому; Порядок зачисления детей в ГОБУ НОЦППМС; Порядок внутреннего распорядка обучающихся. Локальные акты утверждены приказом Центра от 16.10.2015 №57.</w:t>
      </w:r>
    </w:p>
    <w:p w:rsidR="007403DF" w:rsidRDefault="007403DF" w:rsidP="00740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3DF">
        <w:rPr>
          <w:rFonts w:ascii="Times New Roman" w:hAnsi="Times New Roman" w:cs="Times New Roman"/>
          <w:sz w:val="28"/>
          <w:szCs w:val="28"/>
        </w:rPr>
        <w:t xml:space="preserve">В 2019 году услуга предоставлялась на дому 4 обучающимся в Великом Новгороде и 2 обучающимся </w:t>
      </w:r>
      <w:proofErr w:type="spellStart"/>
      <w:r w:rsidRPr="007403DF">
        <w:rPr>
          <w:rFonts w:ascii="Times New Roman" w:hAnsi="Times New Roman" w:cs="Times New Roman"/>
          <w:sz w:val="28"/>
          <w:szCs w:val="28"/>
        </w:rPr>
        <w:t>в.р</w:t>
      </w:r>
      <w:proofErr w:type="gramStart"/>
      <w:r w:rsidRPr="007403DF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7403DF">
        <w:rPr>
          <w:rFonts w:ascii="Times New Roman" w:hAnsi="Times New Roman" w:cs="Times New Roman"/>
          <w:sz w:val="28"/>
          <w:szCs w:val="28"/>
        </w:rPr>
        <w:t xml:space="preserve"> Демянск.</w:t>
      </w:r>
    </w:p>
    <w:p w:rsidR="000C750B" w:rsidRPr="00041416" w:rsidRDefault="000C750B" w:rsidP="000C750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2.5. устава учреждения и на основании лицензии на осуществление образовательной де</w:t>
      </w:r>
      <w:r>
        <w:rPr>
          <w:rFonts w:ascii="Times New Roman" w:hAnsi="Times New Roman" w:cs="Times New Roman"/>
          <w:sz w:val="28"/>
          <w:szCs w:val="28"/>
        </w:rPr>
        <w:t>ятельности серия 53ЛО1 № 0000722</w:t>
      </w:r>
      <w:r w:rsidRPr="0004141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 ноября 2015 года № 319</w:t>
      </w:r>
      <w:r w:rsidRPr="00041416">
        <w:rPr>
          <w:rFonts w:ascii="Times New Roman" w:hAnsi="Times New Roman" w:cs="Times New Roman"/>
          <w:sz w:val="28"/>
          <w:szCs w:val="28"/>
        </w:rPr>
        <w:t xml:space="preserve"> Центр осуществляет образовательную деятельность по основным общеобразовательным программам - </w:t>
      </w:r>
      <w:r w:rsidRPr="00041416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дошкольного образования.</w:t>
      </w:r>
    </w:p>
    <w:p w:rsidR="000C750B" w:rsidRPr="00041416" w:rsidRDefault="000C750B" w:rsidP="000C75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1416">
        <w:rPr>
          <w:rFonts w:ascii="Times New Roman" w:hAnsi="Times New Roman" w:cs="Times New Roman"/>
          <w:sz w:val="28"/>
          <w:szCs w:val="28"/>
        </w:rPr>
        <w:t>Реализуемая образовательная программа дошкольного образования обеспечивает углубленную работу по приоритетным направлениям «Познавательное развитие детей дошкольного возраста», «Речевое развитие детей дошкольного возраста», «Здоровье и физическое развитие детей дошкольного возраста», «Социально-коммуникативное развитие детей д</w:t>
      </w:r>
      <w:r>
        <w:rPr>
          <w:rFonts w:ascii="Times New Roman" w:hAnsi="Times New Roman" w:cs="Times New Roman"/>
          <w:sz w:val="28"/>
          <w:szCs w:val="28"/>
        </w:rPr>
        <w:t>ошкольного возраста».</w:t>
      </w:r>
    </w:p>
    <w:p w:rsidR="007403DF" w:rsidRDefault="007403DF" w:rsidP="007403DF">
      <w:pPr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1D0FD4" w:rsidRPr="001D0FD4" w:rsidRDefault="001D0FD4" w:rsidP="001D0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D4">
        <w:rPr>
          <w:rFonts w:ascii="Times New Roman" w:hAnsi="Times New Roman" w:cs="Times New Roman"/>
          <w:b/>
          <w:sz w:val="28"/>
          <w:szCs w:val="28"/>
        </w:rPr>
        <w:t xml:space="preserve">6. Оценка </w:t>
      </w:r>
      <w:proofErr w:type="gramStart"/>
      <w:r w:rsidRPr="001D0FD4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услуг,  предоставляемых государственным областным бюджетным учреждением «Новгородский областной центр психолого-педагогической, медицинской и социальной помощи» (далее – Центр), осуществляется с целью сбора, обобщения, анализа информации о качестве услуг, предоставляемых центром, для принятия обоснованных управленческих  решений по достижению качественного образования, а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выявления проблемных направлений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корректив;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основных стратегических направлений деятельности центра на основе анализа полученных данных;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полученных показателей для проектирования и реализации уставных задач;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полученных результатов для определения качества работы педагогов.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использовались единые механизмы сбора, обработки и хранения информации об удовлетворенности клиентов центра качеством предоставляемых услуг.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мониторинга – клиенты центра, получающие различные виды услуг в центре.</w:t>
      </w:r>
    </w:p>
    <w:p w:rsidR="006A46C8" w:rsidRDefault="006A46C8" w:rsidP="006A46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мониторинга – удовлетворенность клиентов качеством предоставляемых услуг.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осуществляется с использованием методов опроса в форме анкетирования по единым анкетам: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анонимная анкета «Удовлетворенность качеством предоставляемых услуг», размещенная на сайте центра - оценивается качество предоставляемых услуг в форме консультирования, диагностики, психолого-педагогической коррекции;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анкета «Удовлетворенность качеством предоставляемых услуг» - оценивается качество предоставляемых услуг в форме консультирования, диагностики, психолого-педагогической коррекции.</w:t>
      </w:r>
    </w:p>
    <w:p w:rsidR="006A46C8" w:rsidRDefault="006A46C8" w:rsidP="006A4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Удовлетворенность качеством предоставляемых услуг в форме консультирования, диагностики, психолого-педагогической коррекции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</w:t>
      </w:r>
      <w:r w:rsidR="001D0F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анкетировании приняли участие 1401 клиентов; из них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- 253 клиента из Великого Новгорода;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- 192 клиентов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Валдайского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Крестецкого муниципальных районов;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- 203 клиента из Демянского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районов;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- 450 клиентов из Окуловского муниципального района;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- 203 клиентов из Солецкого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районов;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клиентов из Чудовского и Маловишерского муниципальных районов.</w:t>
      </w:r>
    </w:p>
    <w:p w:rsidR="006A46C8" w:rsidRDefault="006A46C8" w:rsidP="006A46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показали,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показатели удовлетворенности получателей услуг по всем направлениям деятельности не ниже 98%, а именно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- 100% клиентов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доброжелательностью и вежливостью сотрудников центра; 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- 100% клиентов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компетентностью специалистов; 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- 100% - доступностью информации о предоставляемых услугах; 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- 99,6% клиентов удовлетворяет качество предоставляемых услуг;</w:t>
      </w:r>
    </w:p>
    <w:p w:rsidR="006A46C8" w:rsidRDefault="006A46C8" w:rsidP="006A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- 98,1% - удовлетворяет материально-техническое обеспечение центра. </w:t>
      </w:r>
    </w:p>
    <w:p w:rsidR="006A46C8" w:rsidRDefault="006A46C8" w:rsidP="006A46C8">
      <w:pPr>
        <w:pStyle w:val="a8"/>
        <w:ind w:left="1068" w:right="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A46C8" w:rsidTr="006A46C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>
            <w:pPr>
              <w:pStyle w:val="a8"/>
              <w:ind w:left="0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 w:rsidRPr="001D0F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ВСЕГО</w:t>
            </w:r>
          </w:p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D0F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удовлетворены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отчасти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не удовлетворены  </w:t>
            </w:r>
          </w:p>
        </w:tc>
      </w:tr>
      <w:tr w:rsidR="006A46C8" w:rsidTr="006A46C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8" w:rsidRPr="001D0FD4" w:rsidRDefault="006A46C8">
            <w:pPr>
              <w:widowControl/>
              <w:rPr>
                <w:rFonts w:ascii="Times New Roman" w:hAnsi="Times New Roman" w:cs="Times New Roman"/>
                <w:color w:val="000000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C8" w:rsidRPr="001D0FD4" w:rsidRDefault="006A46C8" w:rsidP="001D0FD4">
            <w:pPr>
              <w:widowControl/>
              <w:ind w:firstLine="0"/>
              <w:rPr>
                <w:rFonts w:ascii="Times New Roman" w:hAnsi="Times New Roman" w:cs="Times New Roman"/>
                <w:i/>
                <w:color w:val="00000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Доля</w:t>
            </w:r>
          </w:p>
        </w:tc>
      </w:tr>
      <w:tr w:rsidR="006A46C8" w:rsidTr="006A4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ind w:right="96" w:firstLine="0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1D0FD4">
              <w:rPr>
                <w:rFonts w:ascii="Times New Roman" w:hAnsi="Times New Roman" w:cs="Times New Roman"/>
                <w:color w:val="000000"/>
              </w:rPr>
              <w:t>доступностью информации</w:t>
            </w:r>
            <w:r w:rsidR="001D0F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0FD4">
              <w:rPr>
                <w:rFonts w:ascii="Times New Roman" w:hAnsi="Times New Roman" w:cs="Times New Roman"/>
                <w:color w:val="000000"/>
              </w:rPr>
              <w:t xml:space="preserve">о предоставляемых услугах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D0FD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C8" w:rsidTr="006A4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1D0FD4" w:rsidP="001D0FD4">
            <w:pPr>
              <w:suppressAutoHyphens/>
              <w:ind w:right="96" w:firstLine="0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доброжелательностью, </w:t>
            </w:r>
            <w:r w:rsidR="006A46C8" w:rsidRPr="001D0FD4">
              <w:rPr>
                <w:rFonts w:ascii="Times New Roman" w:hAnsi="Times New Roman" w:cs="Times New Roman"/>
                <w:color w:val="000000"/>
              </w:rPr>
              <w:t xml:space="preserve"> вежливостью сотрудников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1D0FD4">
              <w:rPr>
                <w:rFonts w:ascii="Times New Roman" w:hAnsi="Times New Roman" w:cs="Times New Roman"/>
                <w:noProof/>
                <w:color w:val="000000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C8" w:rsidTr="006A4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suppressAutoHyphens/>
              <w:ind w:right="96" w:firstLine="0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1D0FD4">
              <w:rPr>
                <w:rFonts w:ascii="Times New Roman" w:hAnsi="Times New Roman" w:cs="Times New Roman"/>
                <w:color w:val="000000"/>
              </w:rPr>
              <w:t>компе</w:t>
            </w:r>
            <w:r w:rsidR="001D0FD4">
              <w:rPr>
                <w:rFonts w:ascii="Times New Roman" w:hAnsi="Times New Roman" w:cs="Times New Roman"/>
                <w:color w:val="000000"/>
              </w:rPr>
              <w:t>тентностью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1D0FD4">
              <w:rPr>
                <w:rFonts w:ascii="Times New Roman" w:hAnsi="Times New Roman" w:cs="Times New Roman"/>
                <w:noProof/>
                <w:color w:val="000000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C8" w:rsidTr="006A4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suppressAutoHyphens/>
              <w:ind w:right="96" w:firstLine="0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1D0FD4">
              <w:rPr>
                <w:rFonts w:ascii="Times New Roman" w:hAnsi="Times New Roman" w:cs="Times New Roman"/>
                <w:color w:val="000000"/>
              </w:rPr>
              <w:t xml:space="preserve">качеством предоставляемых услуг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1D0FD4">
              <w:rPr>
                <w:rFonts w:ascii="Times New Roman" w:hAnsi="Times New Roman" w:cs="Times New Roman"/>
                <w:noProof/>
                <w:color w:val="000000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6A46C8" w:rsidTr="006A4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ind w:right="96" w:firstLine="0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1D0FD4">
              <w:rPr>
                <w:rFonts w:ascii="Times New Roman" w:hAnsi="Times New Roman" w:cs="Times New Roman"/>
                <w:color w:val="000000"/>
              </w:rPr>
              <w:t>материально-техническим обеспечением 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1D0FD4">
              <w:rPr>
                <w:rFonts w:ascii="Times New Roman" w:hAnsi="Times New Roman" w:cs="Times New Roman"/>
                <w:noProof/>
                <w:color w:val="000000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6C8" w:rsidTr="006A46C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1D0FD4" w:rsidP="001D0FD4">
            <w:pPr>
              <w:ind w:right="96" w:firstLine="0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готовы ли Вы рекомендовать </w:t>
            </w:r>
            <w:r w:rsidR="006A46C8" w:rsidRPr="001D0FD4">
              <w:rPr>
                <w:rFonts w:ascii="Times New Roman" w:hAnsi="Times New Roman" w:cs="Times New Roman"/>
                <w:color w:val="000000"/>
              </w:rPr>
              <w:t>услуги Центра родственникам или  знакомым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suppressAutoHyphens/>
              <w:ind w:firstLine="0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1D0FD4">
              <w:rPr>
                <w:rFonts w:ascii="Times New Roman" w:hAnsi="Times New Roman" w:cs="Times New Roman"/>
                <w:noProof/>
                <w:color w:val="000000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C8" w:rsidRPr="001D0FD4" w:rsidRDefault="006A46C8" w:rsidP="001D0FD4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46C8" w:rsidRDefault="006A46C8" w:rsidP="006A46C8">
      <w:pPr>
        <w:ind w:right="96" w:firstLine="709"/>
        <w:rPr>
          <w:rFonts w:eastAsia="Arial Unicode MS" w:cs="Mangal"/>
          <w:i/>
          <w:color w:val="000000"/>
          <w:kern w:val="2"/>
          <w:sz w:val="20"/>
          <w:lang w:eastAsia="hi-IN" w:bidi="hi-IN"/>
        </w:rPr>
      </w:pPr>
      <w:r>
        <w:rPr>
          <w:i/>
          <w:color w:val="000000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</w:t>
      </w:r>
    </w:p>
    <w:p w:rsidR="007403DF" w:rsidRDefault="001D0FD4" w:rsidP="001D0FD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7403DF" w:rsidRDefault="007403DF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7403DF" w:rsidRDefault="007403DF" w:rsidP="007403DF">
      <w:pPr>
        <w:sectPr w:rsidR="007403DF" w:rsidSect="007403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1AE0" w:rsidRPr="001D0FD4" w:rsidRDefault="008F1AE0" w:rsidP="008F1AE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D0FD4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Показатели</w:t>
      </w:r>
      <w:r w:rsidR="001D0FD4" w:rsidRPr="001D0F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0FD4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</w:t>
      </w:r>
      <w:r w:rsidR="001D0F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30.12.2019</w:t>
      </w:r>
    </w:p>
    <w:p w:rsidR="008F1AE0" w:rsidRPr="002D0E6C" w:rsidRDefault="008F1AE0" w:rsidP="008F1AE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D0E6C">
              <w:rPr>
                <w:rFonts w:ascii="Times New Roman" w:hAnsi="Times New Roman" w:cs="Times New Roman"/>
              </w:rPr>
              <w:t>п</w:t>
            </w:r>
            <w:proofErr w:type="gramEnd"/>
            <w:r w:rsidRPr="002D0E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1"/>
              <w:rPr>
                <w:rFonts w:ascii="Times New Roman" w:hAnsi="Times New Roman" w:cs="Times New Roman"/>
              </w:rPr>
            </w:pPr>
            <w:bookmarkStart w:id="1" w:name="sub_1001"/>
            <w:r w:rsidRPr="002D0E6C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Style w:val="a5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0" w:rsidRPr="002D0E6C" w:rsidRDefault="008F1AE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sub_1011"/>
            <w:r w:rsidRPr="002D0E6C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460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6</w:t>
            </w:r>
            <w:r w:rsidR="00314953" w:rsidRPr="002D0E6C">
              <w:rPr>
                <w:rFonts w:ascii="Times New Roman" w:hAnsi="Times New Roman" w:cs="Times New Roman"/>
              </w:rPr>
              <w:t xml:space="preserve"> </w:t>
            </w:r>
            <w:r w:rsidR="008F1AE0" w:rsidRPr="002D0E6C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" w:name="sub_1111"/>
            <w:r w:rsidRPr="002D0E6C">
              <w:rPr>
                <w:rFonts w:ascii="Times New Roman" w:hAnsi="Times New Roman" w:cs="Times New Roman"/>
              </w:rPr>
              <w:t>1.1.1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D0E6C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2D0E6C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0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4" w:name="sub_1112"/>
            <w:r w:rsidRPr="002D0E6C">
              <w:rPr>
                <w:rFonts w:ascii="Times New Roman" w:hAnsi="Times New Roman" w:cs="Times New Roman"/>
              </w:rPr>
              <w:t>1.1.2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0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5" w:name="sub_1113"/>
            <w:r w:rsidRPr="002D0E6C">
              <w:rPr>
                <w:rFonts w:ascii="Times New Roman" w:hAnsi="Times New Roman" w:cs="Times New Roman"/>
              </w:rPr>
              <w:t>1.1.3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460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6</w:t>
            </w:r>
            <w:r w:rsidR="00314953" w:rsidRPr="002D0E6C">
              <w:rPr>
                <w:rFonts w:ascii="Times New Roman" w:hAnsi="Times New Roman" w:cs="Times New Roman"/>
              </w:rPr>
              <w:t xml:space="preserve"> </w:t>
            </w:r>
            <w:r w:rsidR="008F1AE0" w:rsidRPr="002D0E6C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6" w:name="sub_1114"/>
            <w:r w:rsidRPr="002D0E6C">
              <w:rPr>
                <w:rFonts w:ascii="Times New Roman" w:hAnsi="Times New Roman" w:cs="Times New Roman"/>
              </w:rPr>
              <w:t>1.1.4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0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7" w:name="sub_1012"/>
            <w:r w:rsidRPr="002D0E6C">
              <w:rPr>
                <w:rFonts w:ascii="Times New Roman" w:hAnsi="Times New Roman" w:cs="Times New Roman"/>
              </w:rPr>
              <w:t>1.2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 w:rsidP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8" w:name="sub_1013"/>
            <w:r w:rsidRPr="002D0E6C">
              <w:rPr>
                <w:rFonts w:ascii="Times New Roman" w:hAnsi="Times New Roman" w:cs="Times New Roman"/>
              </w:rPr>
              <w:t>1.3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460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6</w:t>
            </w:r>
            <w:r w:rsidR="00314953" w:rsidRPr="002D0E6C">
              <w:rPr>
                <w:rFonts w:ascii="Times New Roman" w:hAnsi="Times New Roman" w:cs="Times New Roman"/>
              </w:rPr>
              <w:t xml:space="preserve"> </w:t>
            </w:r>
            <w:r w:rsidR="008F1AE0" w:rsidRPr="002D0E6C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9" w:name="sub_1014"/>
            <w:r w:rsidRPr="002D0E6C">
              <w:rPr>
                <w:rFonts w:ascii="Times New Roman" w:hAnsi="Times New Roman" w:cs="Times New Roman"/>
              </w:rPr>
              <w:t>1.4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0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0" w:name="sub_1141"/>
            <w:r w:rsidRPr="002D0E6C">
              <w:rPr>
                <w:rFonts w:ascii="Times New Roman" w:hAnsi="Times New Roman" w:cs="Times New Roman"/>
              </w:rPr>
              <w:t>1.4.1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D0E6C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2D0E6C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0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1" w:name="sub_1142"/>
            <w:r w:rsidRPr="002D0E6C">
              <w:rPr>
                <w:rFonts w:ascii="Times New Roman" w:hAnsi="Times New Roman" w:cs="Times New Roman"/>
              </w:rPr>
              <w:t>1.4.2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0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2" w:name="sub_1143"/>
            <w:r w:rsidRPr="002D0E6C">
              <w:rPr>
                <w:rFonts w:ascii="Times New Roman" w:hAnsi="Times New Roman" w:cs="Times New Roman"/>
              </w:rPr>
              <w:t>1.4.3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0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3" w:name="sub_1015"/>
            <w:r w:rsidRPr="002D0E6C">
              <w:rPr>
                <w:rFonts w:ascii="Times New Roman" w:hAnsi="Times New Roman" w:cs="Times New Roman"/>
              </w:rPr>
              <w:t>1.5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100%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4" w:name="sub_1151"/>
            <w:r w:rsidRPr="002D0E6C">
              <w:rPr>
                <w:rFonts w:ascii="Times New Roman" w:hAnsi="Times New Roman" w:cs="Times New Roman"/>
              </w:rPr>
              <w:t>1.5.1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100%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5" w:name="sub_1152"/>
            <w:r w:rsidRPr="002D0E6C">
              <w:rPr>
                <w:rFonts w:ascii="Times New Roman" w:hAnsi="Times New Roman" w:cs="Times New Roman"/>
              </w:rPr>
              <w:t>1.5.2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100%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6" w:name="sub_1153"/>
            <w:r w:rsidRPr="002D0E6C">
              <w:rPr>
                <w:rFonts w:ascii="Times New Roman" w:hAnsi="Times New Roman" w:cs="Times New Roman"/>
              </w:rPr>
              <w:t>1.5.3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0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7" w:name="sub_1016"/>
            <w:r w:rsidRPr="002D0E6C">
              <w:rPr>
                <w:rFonts w:ascii="Times New Roman" w:hAnsi="Times New Roman" w:cs="Times New Roman"/>
              </w:rPr>
              <w:t>1.6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314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 xml:space="preserve">0 </w:t>
            </w:r>
            <w:r w:rsidR="008F1AE0" w:rsidRPr="002D0E6C">
              <w:rPr>
                <w:rFonts w:ascii="Times New Roman" w:hAnsi="Times New Roman" w:cs="Times New Roman"/>
              </w:rPr>
              <w:t>день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8" w:name="sub_1017"/>
            <w:r w:rsidRPr="002D0E6C">
              <w:rPr>
                <w:rFonts w:ascii="Times New Roman" w:hAnsi="Times New Roman" w:cs="Times New Roman"/>
              </w:rPr>
              <w:t>1.7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9" w:name="sub_1171"/>
            <w:r w:rsidRPr="002D0E6C">
              <w:rPr>
                <w:rFonts w:ascii="Times New Roman" w:hAnsi="Times New Roman" w:cs="Times New Roman"/>
              </w:rPr>
              <w:t>1.7.1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0" w:name="sub_1172"/>
            <w:r w:rsidRPr="002D0E6C">
              <w:rPr>
                <w:rFonts w:ascii="Times New Roman" w:hAnsi="Times New Roman" w:cs="Times New Roman"/>
              </w:rPr>
              <w:t>1.7.2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1" w:name="sub_1173"/>
            <w:r w:rsidRPr="002D0E6C">
              <w:rPr>
                <w:rFonts w:ascii="Times New Roman" w:hAnsi="Times New Roman" w:cs="Times New Roman"/>
              </w:rPr>
              <w:t>1.7.3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2" w:name="sub_1174"/>
            <w:r w:rsidRPr="002D0E6C">
              <w:rPr>
                <w:rFonts w:ascii="Times New Roman" w:hAnsi="Times New Roman" w:cs="Times New Roman"/>
              </w:rPr>
              <w:lastRenderedPageBreak/>
              <w:t>1.7.4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3" w:name="sub_1018"/>
            <w:r w:rsidRPr="002D0E6C">
              <w:rPr>
                <w:rFonts w:ascii="Times New Roman" w:hAnsi="Times New Roman" w:cs="Times New Roman"/>
              </w:rPr>
              <w:t>1.8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4" w:name="sub_1181"/>
            <w:r w:rsidRPr="002D0E6C">
              <w:rPr>
                <w:rFonts w:ascii="Times New Roman" w:hAnsi="Times New Roman" w:cs="Times New Roman"/>
              </w:rPr>
              <w:t>1.8.1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5" w:name="sub_1182"/>
            <w:r w:rsidRPr="002D0E6C">
              <w:rPr>
                <w:rFonts w:ascii="Times New Roman" w:hAnsi="Times New Roman" w:cs="Times New Roman"/>
              </w:rPr>
              <w:t>1.8.2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6" w:name="sub_1019"/>
            <w:r w:rsidRPr="002D0E6C">
              <w:rPr>
                <w:rFonts w:ascii="Times New Roman" w:hAnsi="Times New Roman" w:cs="Times New Roman"/>
              </w:rPr>
              <w:t>1.9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7" w:name="sub_1191"/>
            <w:r w:rsidRPr="002D0E6C">
              <w:rPr>
                <w:rFonts w:ascii="Times New Roman" w:hAnsi="Times New Roman" w:cs="Times New Roman"/>
              </w:rPr>
              <w:t>1.9.1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8" w:name="sub_1192"/>
            <w:r w:rsidRPr="002D0E6C">
              <w:rPr>
                <w:rFonts w:ascii="Times New Roman" w:hAnsi="Times New Roman" w:cs="Times New Roman"/>
              </w:rPr>
              <w:t>1.9.2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9" w:name="sub_1110"/>
            <w:r w:rsidRPr="002D0E6C">
              <w:rPr>
                <w:rFonts w:ascii="Times New Roman" w:hAnsi="Times New Roman" w:cs="Times New Roman"/>
              </w:rPr>
              <w:t>1.10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0" w:name="sub_11011"/>
            <w:r w:rsidRPr="002D0E6C">
              <w:rPr>
                <w:rFonts w:ascii="Times New Roman" w:hAnsi="Times New Roman" w:cs="Times New Roman"/>
              </w:rPr>
              <w:t>1.11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1" w:name="sub_11012"/>
            <w:r w:rsidRPr="002D0E6C">
              <w:rPr>
                <w:rFonts w:ascii="Times New Roman" w:hAnsi="Times New Roman" w:cs="Times New Roman"/>
              </w:rPr>
              <w:t>1.12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2D0E6C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2" w:name="sub_11013"/>
            <w:r w:rsidRPr="002D0E6C">
              <w:rPr>
                <w:rFonts w:ascii="Times New Roman" w:hAnsi="Times New Roman" w:cs="Times New Roman"/>
              </w:rPr>
              <w:t>1.13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3" w:name="sub_11014"/>
            <w:r w:rsidRPr="002D0E6C">
              <w:rPr>
                <w:rFonts w:ascii="Times New Roman" w:hAnsi="Times New Roman" w:cs="Times New Roman"/>
              </w:rPr>
              <w:t>1.14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человек/человек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4" w:name="sub_11015"/>
            <w:r w:rsidRPr="002D0E6C">
              <w:rPr>
                <w:rFonts w:ascii="Times New Roman" w:hAnsi="Times New Roman" w:cs="Times New Roman"/>
              </w:rPr>
              <w:t>1.15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0" w:rsidRPr="002D0E6C" w:rsidRDefault="008F1AE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5" w:name="sub_11151"/>
            <w:r w:rsidRPr="002D0E6C">
              <w:rPr>
                <w:rFonts w:ascii="Times New Roman" w:hAnsi="Times New Roman" w:cs="Times New Roman"/>
              </w:rPr>
              <w:t>1.15.1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да/нет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6" w:name="sub_11152"/>
            <w:r w:rsidRPr="002D0E6C">
              <w:rPr>
                <w:rFonts w:ascii="Times New Roman" w:hAnsi="Times New Roman" w:cs="Times New Roman"/>
              </w:rPr>
              <w:t>1.15.2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да/нет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7" w:name="sub_11153"/>
            <w:r w:rsidRPr="002D0E6C">
              <w:rPr>
                <w:rFonts w:ascii="Times New Roman" w:hAnsi="Times New Roman" w:cs="Times New Roman"/>
              </w:rPr>
              <w:t>1.15.3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да/нет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8" w:name="sub_11154"/>
            <w:r w:rsidRPr="002D0E6C">
              <w:rPr>
                <w:rFonts w:ascii="Times New Roman" w:hAnsi="Times New Roman" w:cs="Times New Roman"/>
              </w:rPr>
              <w:t>1.15.4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0" w:rsidRPr="002D0E6C" w:rsidRDefault="008F1AE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39" w:name="sub_11155"/>
            <w:r w:rsidRPr="002D0E6C">
              <w:rPr>
                <w:rFonts w:ascii="Times New Roman" w:hAnsi="Times New Roman" w:cs="Times New Roman"/>
              </w:rPr>
              <w:t>1.15.5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Учител</w:t>
            </w:r>
            <w:proofErr w:type="gramStart"/>
            <w:r w:rsidRPr="002D0E6C">
              <w:rPr>
                <w:rFonts w:ascii="Times New Roman" w:hAnsi="Times New Roman" w:cs="Times New Roman"/>
              </w:rPr>
              <w:t>я-</w:t>
            </w:r>
            <w:proofErr w:type="gramEnd"/>
            <w:r w:rsidRPr="002D0E6C">
              <w:rPr>
                <w:rFonts w:ascii="Times New Roman" w:hAnsi="Times New Roman" w:cs="Times New Roman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да/нет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40" w:name="sub_11156"/>
            <w:r w:rsidRPr="002D0E6C">
              <w:rPr>
                <w:rFonts w:ascii="Times New Roman" w:hAnsi="Times New Roman" w:cs="Times New Roman"/>
              </w:rPr>
              <w:t>1.15.6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0" w:rsidRPr="002D0E6C" w:rsidRDefault="008F1AE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1"/>
              <w:rPr>
                <w:rFonts w:ascii="Times New Roman" w:hAnsi="Times New Roman" w:cs="Times New Roman"/>
              </w:rPr>
            </w:pPr>
            <w:bookmarkStart w:id="41" w:name="sub_1002"/>
            <w:r w:rsidRPr="002D0E6C">
              <w:rPr>
                <w:rFonts w:ascii="Times New Roman" w:hAnsi="Times New Roman" w:cs="Times New Roman"/>
              </w:rPr>
              <w:t>2.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Style w:val="a5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E0" w:rsidRPr="002D0E6C" w:rsidRDefault="008F1AE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42" w:name="sub_1021"/>
            <w:r w:rsidRPr="002D0E6C">
              <w:rPr>
                <w:rFonts w:ascii="Times New Roman" w:hAnsi="Times New Roman" w:cs="Times New Roman"/>
              </w:rPr>
              <w:t>2.1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2D0E6C">
              <w:rPr>
                <w:rFonts w:ascii="Times New Roman" w:hAnsi="Times New Roman" w:cs="Times New Roman"/>
              </w:rPr>
              <w:lastRenderedPageBreak/>
              <w:t>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2212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Обучение на дому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43" w:name="sub_1022"/>
            <w:r w:rsidRPr="002D0E6C">
              <w:rPr>
                <w:rFonts w:ascii="Times New Roman" w:hAnsi="Times New Roman" w:cs="Times New Roman"/>
              </w:rPr>
              <w:lastRenderedPageBreak/>
              <w:t>2.2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2212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дому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44" w:name="sub_1023"/>
            <w:r w:rsidRPr="002D0E6C">
              <w:rPr>
                <w:rFonts w:ascii="Times New Roman" w:hAnsi="Times New Roman" w:cs="Times New Roman"/>
              </w:rPr>
              <w:t>2.3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да/нет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45" w:name="sub_1024"/>
            <w:r w:rsidRPr="002D0E6C">
              <w:rPr>
                <w:rFonts w:ascii="Times New Roman" w:hAnsi="Times New Roman" w:cs="Times New Roman"/>
              </w:rPr>
              <w:t>2.4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да/нет</w:t>
            </w:r>
          </w:p>
        </w:tc>
      </w:tr>
      <w:tr w:rsidR="008F1AE0" w:rsidRPr="002D0E6C" w:rsidTr="008F1AE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46" w:name="sub_1025"/>
            <w:r w:rsidRPr="002D0E6C">
              <w:rPr>
                <w:rFonts w:ascii="Times New Roman" w:hAnsi="Times New Roman" w:cs="Times New Roman"/>
              </w:rPr>
              <w:t>2.5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4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E0" w:rsidRPr="002D0E6C" w:rsidRDefault="008F1A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0E6C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8F1AE0" w:rsidRPr="002D0E6C" w:rsidRDefault="008F1AE0" w:rsidP="008F1AE0">
      <w:pPr>
        <w:rPr>
          <w:rFonts w:ascii="Times New Roman" w:hAnsi="Times New Roman" w:cs="Times New Roman"/>
        </w:rPr>
      </w:pPr>
    </w:p>
    <w:p w:rsidR="008F1AE0" w:rsidRPr="002D0E6C" w:rsidRDefault="008F1AE0" w:rsidP="008F1AE0">
      <w:pPr>
        <w:rPr>
          <w:rFonts w:ascii="Times New Roman" w:hAnsi="Times New Roman" w:cs="Times New Roman"/>
        </w:rPr>
      </w:pPr>
    </w:p>
    <w:p w:rsidR="008D6045" w:rsidRPr="002D0E6C" w:rsidRDefault="008D6045">
      <w:pPr>
        <w:rPr>
          <w:rFonts w:ascii="Times New Roman" w:hAnsi="Times New Roman" w:cs="Times New Roman"/>
        </w:rPr>
      </w:pPr>
    </w:p>
    <w:sectPr w:rsidR="008D6045" w:rsidRPr="002D0E6C" w:rsidSect="007403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clip_image001"/>
      </v:shape>
    </w:pict>
  </w:numPicBullet>
  <w:abstractNum w:abstractNumId="0">
    <w:nsid w:val="41EF2DF7"/>
    <w:multiLevelType w:val="hybridMultilevel"/>
    <w:tmpl w:val="0A84D994"/>
    <w:lvl w:ilvl="0" w:tplc="99B4F8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FE"/>
    <w:rsid w:val="000C750B"/>
    <w:rsid w:val="000E021E"/>
    <w:rsid w:val="00152A8F"/>
    <w:rsid w:val="001D0FD4"/>
    <w:rsid w:val="001E60CC"/>
    <w:rsid w:val="00221286"/>
    <w:rsid w:val="00273AB8"/>
    <w:rsid w:val="002D0E6C"/>
    <w:rsid w:val="00314953"/>
    <w:rsid w:val="004A3243"/>
    <w:rsid w:val="006A46C8"/>
    <w:rsid w:val="007403DF"/>
    <w:rsid w:val="008460C6"/>
    <w:rsid w:val="0089146B"/>
    <w:rsid w:val="008D6045"/>
    <w:rsid w:val="008F1AE0"/>
    <w:rsid w:val="00C35CAB"/>
    <w:rsid w:val="00DC6EFE"/>
    <w:rsid w:val="00E0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A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A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8F1AE0"/>
    <w:pPr>
      <w:ind w:firstLine="0"/>
    </w:pPr>
  </w:style>
  <w:style w:type="paragraph" w:customStyle="1" w:styleId="a4">
    <w:name w:val="Прижатый влево"/>
    <w:basedOn w:val="a"/>
    <w:next w:val="a"/>
    <w:rsid w:val="008F1AE0"/>
    <w:pPr>
      <w:ind w:firstLine="0"/>
      <w:jc w:val="left"/>
    </w:pPr>
  </w:style>
  <w:style w:type="character" w:customStyle="1" w:styleId="a5">
    <w:name w:val="Цветовое выделение"/>
    <w:rsid w:val="008F1AE0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8F1AE0"/>
    <w:rPr>
      <w:rFonts w:ascii="Times New Roman" w:hAnsi="Times New Roman" w:cs="Times New Roman" w:hint="default"/>
      <w:b/>
      <w:bCs/>
      <w:color w:val="106BBE"/>
    </w:rPr>
  </w:style>
  <w:style w:type="character" w:styleId="a7">
    <w:name w:val="Hyperlink"/>
    <w:basedOn w:val="a0"/>
    <w:uiPriority w:val="99"/>
    <w:unhideWhenUsed/>
    <w:rsid w:val="007403DF"/>
    <w:rPr>
      <w:color w:val="0000FF" w:themeColor="hyperlink"/>
      <w:u w:val="single"/>
    </w:rPr>
  </w:style>
  <w:style w:type="paragraph" w:customStyle="1" w:styleId="Standard">
    <w:name w:val="Standard"/>
    <w:rsid w:val="007403DF"/>
    <w:pPr>
      <w:tabs>
        <w:tab w:val="left" w:pos="709"/>
      </w:tabs>
      <w:suppressAutoHyphens/>
      <w:overflowPunct w:val="0"/>
      <w:autoSpaceDN w:val="0"/>
      <w:spacing w:line="276" w:lineRule="atLeast"/>
      <w:textAlignment w:val="baseline"/>
    </w:pPr>
    <w:rPr>
      <w:rFonts w:ascii="Calibri" w:eastAsia="DejaVu Sans" w:hAnsi="Calibri" w:cs="Lohit Hindi"/>
      <w:color w:val="00000A"/>
      <w:kern w:val="3"/>
    </w:rPr>
  </w:style>
  <w:style w:type="paragraph" w:styleId="a8">
    <w:name w:val="List Paragraph"/>
    <w:basedOn w:val="a"/>
    <w:uiPriority w:val="34"/>
    <w:qFormat/>
    <w:rsid w:val="007403D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403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7403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740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9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2A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2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AE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AE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8F1AE0"/>
    <w:pPr>
      <w:ind w:firstLine="0"/>
    </w:pPr>
  </w:style>
  <w:style w:type="paragraph" w:customStyle="1" w:styleId="a4">
    <w:name w:val="Прижатый влево"/>
    <w:basedOn w:val="a"/>
    <w:next w:val="a"/>
    <w:rsid w:val="008F1AE0"/>
    <w:pPr>
      <w:ind w:firstLine="0"/>
      <w:jc w:val="left"/>
    </w:pPr>
  </w:style>
  <w:style w:type="character" w:customStyle="1" w:styleId="a5">
    <w:name w:val="Цветовое выделение"/>
    <w:rsid w:val="008F1AE0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8F1AE0"/>
    <w:rPr>
      <w:rFonts w:ascii="Times New Roman" w:hAnsi="Times New Roman" w:cs="Times New Roman" w:hint="default"/>
      <w:b/>
      <w:bCs/>
      <w:color w:val="106BBE"/>
    </w:rPr>
  </w:style>
  <w:style w:type="character" w:styleId="a7">
    <w:name w:val="Hyperlink"/>
    <w:basedOn w:val="a0"/>
    <w:uiPriority w:val="99"/>
    <w:unhideWhenUsed/>
    <w:rsid w:val="007403DF"/>
    <w:rPr>
      <w:color w:val="0000FF" w:themeColor="hyperlink"/>
      <w:u w:val="single"/>
    </w:rPr>
  </w:style>
  <w:style w:type="paragraph" w:customStyle="1" w:styleId="Standard">
    <w:name w:val="Standard"/>
    <w:rsid w:val="007403DF"/>
    <w:pPr>
      <w:tabs>
        <w:tab w:val="left" w:pos="709"/>
      </w:tabs>
      <w:suppressAutoHyphens/>
      <w:overflowPunct w:val="0"/>
      <w:autoSpaceDN w:val="0"/>
      <w:spacing w:line="276" w:lineRule="atLeast"/>
      <w:textAlignment w:val="baseline"/>
    </w:pPr>
    <w:rPr>
      <w:rFonts w:ascii="Calibri" w:eastAsia="DejaVu Sans" w:hAnsi="Calibri" w:cs="Lohit Hindi"/>
      <w:color w:val="00000A"/>
      <w:kern w:val="3"/>
    </w:rPr>
  </w:style>
  <w:style w:type="paragraph" w:styleId="a8">
    <w:name w:val="List Paragraph"/>
    <w:basedOn w:val="a"/>
    <w:uiPriority w:val="34"/>
    <w:qFormat/>
    <w:rsid w:val="007403D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7403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7403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740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9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52A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2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mss77228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8DC4-8513-450F-81BC-24BD46BF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Крайнева Е.И</dc:creator>
  <cp:keywords/>
  <dc:description/>
  <cp:lastModifiedBy>User3</cp:lastModifiedBy>
  <cp:revision>14</cp:revision>
  <dcterms:created xsi:type="dcterms:W3CDTF">2017-07-06T09:00:00Z</dcterms:created>
  <dcterms:modified xsi:type="dcterms:W3CDTF">2020-04-22T10:42:00Z</dcterms:modified>
</cp:coreProperties>
</file>